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A1D" w:rsidRDefault="00765A1D" w:rsidP="00765A1D">
      <w:pPr>
        <w:rPr>
          <w:b/>
          <w:sz w:val="28"/>
          <w:szCs w:val="28"/>
        </w:rPr>
      </w:pPr>
      <w:r>
        <w:rPr>
          <w:b/>
          <w:sz w:val="28"/>
          <w:szCs w:val="28"/>
        </w:rPr>
        <w:t>Assignment 2</w:t>
      </w:r>
      <w:r w:rsidRPr="00B02BE6">
        <w:rPr>
          <w:b/>
          <w:sz w:val="28"/>
          <w:szCs w:val="28"/>
        </w:rPr>
        <w:t xml:space="preserve">:  </w:t>
      </w:r>
      <w:bookmarkStart w:id="0" w:name="_GoBack"/>
      <w:r w:rsidRPr="00B02BE6">
        <w:rPr>
          <w:b/>
          <w:sz w:val="28"/>
          <w:szCs w:val="28"/>
        </w:rPr>
        <w:t xml:space="preserve">Bond Credit Rating </w:t>
      </w:r>
      <w:bookmarkEnd w:id="0"/>
      <w:r w:rsidRPr="00B02BE6">
        <w:rPr>
          <w:b/>
          <w:sz w:val="28"/>
          <w:szCs w:val="28"/>
        </w:rPr>
        <w:t>- Submit One (1) Hard Copy p</w:t>
      </w:r>
      <w:r>
        <w:rPr>
          <w:b/>
          <w:sz w:val="28"/>
          <w:szCs w:val="28"/>
        </w:rPr>
        <w:t>er Team</w:t>
      </w:r>
    </w:p>
    <w:p w:rsidR="00765A1D" w:rsidRPr="00B02BE6" w:rsidRDefault="00765A1D" w:rsidP="00765A1D">
      <w:pPr>
        <w:rPr>
          <w:sz w:val="24"/>
          <w:szCs w:val="24"/>
        </w:rPr>
      </w:pPr>
    </w:p>
    <w:p w:rsidR="00765A1D" w:rsidRDefault="00765A1D" w:rsidP="00765A1D">
      <w:pPr>
        <w:rPr>
          <w:sz w:val="24"/>
          <w:szCs w:val="24"/>
        </w:rPr>
      </w:pPr>
      <w:r w:rsidRPr="00B02BE6">
        <w:rPr>
          <w:sz w:val="24"/>
          <w:szCs w:val="24"/>
        </w:rPr>
        <w:t>Read the article</w:t>
      </w:r>
      <w:r>
        <w:rPr>
          <w:sz w:val="24"/>
          <w:szCs w:val="24"/>
        </w:rPr>
        <w:t>s</w:t>
      </w:r>
      <w:r w:rsidRPr="00B02BE6">
        <w:rPr>
          <w:sz w:val="24"/>
          <w:szCs w:val="24"/>
        </w:rPr>
        <w:t xml:space="preserve">, </w:t>
      </w:r>
      <w:r w:rsidRPr="00B52BAF">
        <w:rPr>
          <w:b/>
          <w:i/>
          <w:sz w:val="24"/>
          <w:szCs w:val="24"/>
        </w:rPr>
        <w:t>“Corporate Bond Analysis: What to Consider</w:t>
      </w:r>
      <w:r>
        <w:rPr>
          <w:b/>
          <w:i/>
          <w:sz w:val="24"/>
          <w:szCs w:val="24"/>
        </w:rPr>
        <w:t xml:space="preserve"> (AAII)</w:t>
      </w:r>
      <w:r w:rsidRPr="00B52BAF">
        <w:rPr>
          <w:b/>
          <w:i/>
          <w:sz w:val="24"/>
          <w:szCs w:val="24"/>
        </w:rPr>
        <w:t>”</w:t>
      </w:r>
      <w:r w:rsidRPr="00B52BAF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and </w:t>
      </w:r>
      <w:r w:rsidRPr="00B52BAF">
        <w:rPr>
          <w:b/>
          <w:sz w:val="24"/>
          <w:szCs w:val="24"/>
        </w:rPr>
        <w:t>“S</w:t>
      </w:r>
      <w:r>
        <w:rPr>
          <w:b/>
          <w:sz w:val="24"/>
          <w:szCs w:val="24"/>
        </w:rPr>
        <w:t xml:space="preserve">&amp;P Corporate Ratings Criteria.”  </w:t>
      </w:r>
      <w:r>
        <w:rPr>
          <w:sz w:val="24"/>
          <w:szCs w:val="24"/>
        </w:rPr>
        <w:t>The AAII article discusses the Four C’s of Credit (</w:t>
      </w:r>
      <w:r w:rsidRPr="00DB0E30">
        <w:rPr>
          <w:b/>
          <w:sz w:val="24"/>
          <w:szCs w:val="24"/>
        </w:rPr>
        <w:t>Character, Capacity, Collateral</w:t>
      </w:r>
      <w:r>
        <w:rPr>
          <w:sz w:val="24"/>
          <w:szCs w:val="24"/>
        </w:rPr>
        <w:t xml:space="preserve"> and </w:t>
      </w:r>
      <w:r w:rsidRPr="00DB0E30">
        <w:rPr>
          <w:b/>
          <w:sz w:val="24"/>
          <w:szCs w:val="24"/>
        </w:rPr>
        <w:t>Conditions</w:t>
      </w:r>
      <w:r>
        <w:rPr>
          <w:b/>
          <w:sz w:val="24"/>
          <w:szCs w:val="24"/>
        </w:rPr>
        <w:t xml:space="preserve">) </w:t>
      </w:r>
      <w:r w:rsidRPr="005963FB">
        <w:rPr>
          <w:sz w:val="24"/>
          <w:szCs w:val="24"/>
        </w:rPr>
        <w:t>that are used</w:t>
      </w:r>
      <w:r>
        <w:rPr>
          <w:sz w:val="24"/>
          <w:szCs w:val="24"/>
        </w:rPr>
        <w:t xml:space="preserve"> when </w:t>
      </w:r>
      <w:r w:rsidRPr="00DB0E30">
        <w:rPr>
          <w:sz w:val="24"/>
          <w:szCs w:val="24"/>
        </w:rPr>
        <w:t xml:space="preserve">analyzing </w:t>
      </w:r>
      <w:r>
        <w:rPr>
          <w:sz w:val="24"/>
          <w:szCs w:val="24"/>
        </w:rPr>
        <w:t xml:space="preserve">corporate bonds.  </w:t>
      </w:r>
      <w:r w:rsidRPr="00DB0E30">
        <w:rPr>
          <w:sz w:val="24"/>
          <w:szCs w:val="24"/>
        </w:rPr>
        <w:t>This structure is designed</w:t>
      </w:r>
      <w:r>
        <w:rPr>
          <w:sz w:val="24"/>
          <w:szCs w:val="24"/>
        </w:rPr>
        <w:t xml:space="preserve"> to highlight keys to examining </w:t>
      </w:r>
      <w:r w:rsidRPr="00DB0E30">
        <w:rPr>
          <w:sz w:val="24"/>
          <w:szCs w:val="24"/>
        </w:rPr>
        <w:t>a corporation’s willingnes</w:t>
      </w:r>
      <w:r>
        <w:rPr>
          <w:sz w:val="24"/>
          <w:szCs w:val="24"/>
        </w:rPr>
        <w:t xml:space="preserve">s and ability to pay their debt </w:t>
      </w:r>
      <w:r w:rsidRPr="00DB0E30">
        <w:rPr>
          <w:sz w:val="24"/>
          <w:szCs w:val="24"/>
        </w:rPr>
        <w:t>obligations.</w:t>
      </w:r>
    </w:p>
    <w:p w:rsidR="00765A1D" w:rsidRDefault="00765A1D" w:rsidP="00765A1D">
      <w:pPr>
        <w:rPr>
          <w:sz w:val="24"/>
          <w:szCs w:val="24"/>
        </w:rPr>
      </w:pPr>
    </w:p>
    <w:p w:rsidR="00765A1D" w:rsidRPr="00253742" w:rsidRDefault="00765A1D" w:rsidP="00765A1D">
      <w:pPr>
        <w:rPr>
          <w:b/>
          <w:sz w:val="24"/>
          <w:szCs w:val="24"/>
        </w:rPr>
      </w:pPr>
      <w:r>
        <w:rPr>
          <w:sz w:val="24"/>
          <w:szCs w:val="24"/>
        </w:rPr>
        <w:t>Write a five (5</w:t>
      </w:r>
      <w:r w:rsidRPr="00B02BE6">
        <w:rPr>
          <w:sz w:val="24"/>
          <w:szCs w:val="24"/>
        </w:rPr>
        <w:t xml:space="preserve">)-page report (to include tables) in which you </w:t>
      </w:r>
      <w:r w:rsidRPr="00B52BAF">
        <w:rPr>
          <w:b/>
          <w:sz w:val="24"/>
          <w:szCs w:val="24"/>
        </w:rPr>
        <w:t>COMPARE</w:t>
      </w:r>
      <w:r w:rsidRPr="00B02BE6">
        <w:rPr>
          <w:sz w:val="24"/>
          <w:szCs w:val="24"/>
        </w:rPr>
        <w:t xml:space="preserve"> and </w:t>
      </w:r>
      <w:r w:rsidRPr="00B52BAF">
        <w:rPr>
          <w:b/>
          <w:sz w:val="24"/>
          <w:szCs w:val="24"/>
        </w:rPr>
        <w:t>CONTRAST</w:t>
      </w:r>
      <w:r>
        <w:rPr>
          <w:sz w:val="24"/>
          <w:szCs w:val="24"/>
        </w:rPr>
        <w:t xml:space="preserve"> the </w:t>
      </w:r>
      <w:r>
        <w:rPr>
          <w:b/>
          <w:sz w:val="24"/>
          <w:szCs w:val="24"/>
        </w:rPr>
        <w:t xml:space="preserve">Four C’s of Credit </w:t>
      </w:r>
      <w:r>
        <w:rPr>
          <w:sz w:val="24"/>
          <w:szCs w:val="24"/>
        </w:rPr>
        <w:t>for the</w:t>
      </w:r>
      <w:r w:rsidRPr="00305640">
        <w:rPr>
          <w:b/>
          <w:sz w:val="24"/>
          <w:szCs w:val="24"/>
        </w:rPr>
        <w:t xml:space="preserve"> Johnson &amp; Johnson and Boeing Co.</w:t>
      </w:r>
      <w:r>
        <w:rPr>
          <w:sz w:val="24"/>
          <w:szCs w:val="24"/>
        </w:rPr>
        <w:t xml:space="preserve"> bonds shown below and</w:t>
      </w:r>
      <w:r w:rsidRPr="00305640">
        <w:rPr>
          <w:b/>
          <w:sz w:val="24"/>
          <w:szCs w:val="24"/>
        </w:rPr>
        <w:t xml:space="preserve"> DESCRIBE</w:t>
      </w:r>
      <w:r>
        <w:rPr>
          <w:sz w:val="24"/>
          <w:szCs w:val="24"/>
        </w:rPr>
        <w:t xml:space="preserve"> whether you believe their bond credit ratings are justified or not.  </w:t>
      </w:r>
      <w:r w:rsidRPr="00253742">
        <w:rPr>
          <w:b/>
          <w:sz w:val="24"/>
          <w:szCs w:val="24"/>
        </w:rPr>
        <w:t>(100 points)</w:t>
      </w:r>
    </w:p>
    <w:p w:rsidR="00765A1D" w:rsidRDefault="00765A1D" w:rsidP="00765A1D">
      <w:pPr>
        <w:rPr>
          <w:sz w:val="24"/>
          <w:szCs w:val="24"/>
        </w:rPr>
      </w:pPr>
    </w:p>
    <w:p w:rsidR="00765A1D" w:rsidRPr="002531C6" w:rsidRDefault="00765A1D" w:rsidP="00765A1D">
      <w:pPr>
        <w:rPr>
          <w:sz w:val="24"/>
          <w:szCs w:val="24"/>
        </w:rPr>
      </w:pPr>
      <w:r>
        <w:rPr>
          <w:b/>
          <w:sz w:val="24"/>
          <w:szCs w:val="24"/>
        </w:rPr>
        <w:t>Issue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Coup(%)</w:t>
      </w:r>
      <w:r>
        <w:rPr>
          <w:b/>
          <w:sz w:val="24"/>
          <w:szCs w:val="24"/>
        </w:rPr>
        <w:tab/>
        <w:t>Mat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Rat</w:t>
      </w:r>
      <w:r>
        <w:rPr>
          <w:b/>
          <w:sz w:val="24"/>
          <w:szCs w:val="24"/>
        </w:rPr>
        <w:tab/>
        <w:t>Call</w:t>
      </w:r>
    </w:p>
    <w:p w:rsidR="00765A1D" w:rsidRDefault="00765A1D" w:rsidP="00765A1D">
      <w:pPr>
        <w:rPr>
          <w:sz w:val="24"/>
          <w:szCs w:val="24"/>
        </w:rPr>
      </w:pPr>
    </w:p>
    <w:p w:rsidR="00765A1D" w:rsidRDefault="00765A1D" w:rsidP="00765A1D">
      <w:pPr>
        <w:rPr>
          <w:sz w:val="24"/>
          <w:szCs w:val="24"/>
        </w:rPr>
      </w:pPr>
      <w:r>
        <w:rPr>
          <w:sz w:val="24"/>
          <w:szCs w:val="24"/>
        </w:rPr>
        <w:t>Johnson &amp; Johnson</w:t>
      </w:r>
      <w:r w:rsidRPr="00B02BE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09/01/2040</w:t>
      </w:r>
      <w:r>
        <w:rPr>
          <w:sz w:val="24"/>
          <w:szCs w:val="24"/>
        </w:rPr>
        <w:tab/>
        <w:t>AAA</w:t>
      </w:r>
      <w:r>
        <w:rPr>
          <w:sz w:val="24"/>
          <w:szCs w:val="24"/>
        </w:rPr>
        <w:tab/>
        <w:t>Yes</w:t>
      </w:r>
    </w:p>
    <w:p w:rsidR="00765A1D" w:rsidRPr="00164A61" w:rsidRDefault="00765A1D" w:rsidP="00765A1D">
      <w:pPr>
        <w:rPr>
          <w:sz w:val="24"/>
          <w:szCs w:val="24"/>
        </w:rPr>
      </w:pPr>
      <w:r>
        <w:rPr>
          <w:sz w:val="24"/>
          <w:szCs w:val="24"/>
        </w:rPr>
        <w:t>Boeing</w:t>
      </w:r>
      <w:r>
        <w:rPr>
          <w:sz w:val="24"/>
          <w:szCs w:val="24"/>
        </w:rPr>
        <w:tab/>
        <w:t>Co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5.875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02/15/2040</w:t>
      </w:r>
      <w:r>
        <w:rPr>
          <w:sz w:val="24"/>
          <w:szCs w:val="24"/>
        </w:rPr>
        <w:tab/>
        <w:t>A</w:t>
      </w:r>
      <w:r>
        <w:rPr>
          <w:sz w:val="24"/>
          <w:szCs w:val="24"/>
        </w:rPr>
        <w:tab/>
        <w:t>Yes</w:t>
      </w:r>
    </w:p>
    <w:p w:rsidR="00765A1D" w:rsidRDefault="00765A1D" w:rsidP="00765A1D">
      <w:pPr>
        <w:rPr>
          <w:sz w:val="24"/>
          <w:szCs w:val="24"/>
        </w:rPr>
      </w:pPr>
    </w:p>
    <w:p w:rsidR="00765A1D" w:rsidRPr="00305640" w:rsidRDefault="00765A1D" w:rsidP="00765A1D">
      <w:pPr>
        <w:rPr>
          <w:sz w:val="24"/>
          <w:szCs w:val="24"/>
        </w:rPr>
      </w:pPr>
      <w:r w:rsidRPr="00B02BE6">
        <w:rPr>
          <w:sz w:val="24"/>
          <w:szCs w:val="24"/>
        </w:rPr>
        <w:t xml:space="preserve">These two bonds can be found using the Search box in the bond section of </w:t>
      </w:r>
      <w:r>
        <w:rPr>
          <w:sz w:val="24"/>
          <w:szCs w:val="24"/>
        </w:rPr>
        <w:t>FINRA</w:t>
      </w:r>
      <w:r w:rsidRPr="00B02BE6">
        <w:rPr>
          <w:sz w:val="24"/>
          <w:szCs w:val="24"/>
        </w:rPr>
        <w:t xml:space="preserve">.  </w:t>
      </w:r>
      <w:r>
        <w:rPr>
          <w:sz w:val="24"/>
          <w:szCs w:val="24"/>
        </w:rPr>
        <w:br/>
      </w:r>
    </w:p>
    <w:p w:rsidR="00765A1D" w:rsidRPr="007839B1" w:rsidRDefault="00765A1D" w:rsidP="00765A1D">
      <w:pPr>
        <w:rPr>
          <w:sz w:val="24"/>
          <w:szCs w:val="24"/>
        </w:rPr>
      </w:pPr>
      <w:r w:rsidRPr="00EF39B9">
        <w:rPr>
          <w:b/>
          <w:sz w:val="24"/>
          <w:szCs w:val="24"/>
        </w:rPr>
        <w:t>FINRA Bond Market Data</w:t>
      </w:r>
      <w:r w:rsidRPr="00EF39B9">
        <w:rPr>
          <w:b/>
          <w:sz w:val="24"/>
          <w:szCs w:val="24"/>
        </w:rPr>
        <w:br/>
      </w:r>
      <w:hyperlink r:id="rId4" w:history="1">
        <w:r w:rsidRPr="007839B1">
          <w:rPr>
            <w:rStyle w:val="Hyperlink"/>
            <w:sz w:val="24"/>
            <w:szCs w:val="24"/>
          </w:rPr>
          <w:t>www.finra.org/marketdata</w:t>
        </w:r>
      </w:hyperlink>
      <w:r>
        <w:rPr>
          <w:rStyle w:val="Hyperlink"/>
          <w:sz w:val="24"/>
          <w:szCs w:val="24"/>
        </w:rPr>
        <w:br/>
      </w:r>
    </w:p>
    <w:p w:rsidR="00765A1D" w:rsidRDefault="00765A1D" w:rsidP="00765A1D">
      <w:pPr>
        <w:rPr>
          <w:sz w:val="24"/>
          <w:szCs w:val="24"/>
        </w:rPr>
      </w:pPr>
      <w:r w:rsidRPr="007839B1">
        <w:rPr>
          <w:sz w:val="24"/>
          <w:szCs w:val="24"/>
        </w:rPr>
        <w:t>Click on “Bonds” on the left-hand side.</w:t>
      </w:r>
    </w:p>
    <w:p w:rsidR="00765A1D" w:rsidRDefault="00765A1D" w:rsidP="00765A1D">
      <w:pPr>
        <w:rPr>
          <w:sz w:val="24"/>
          <w:szCs w:val="24"/>
        </w:rPr>
      </w:pPr>
      <w:r>
        <w:rPr>
          <w:sz w:val="24"/>
          <w:szCs w:val="24"/>
        </w:rPr>
        <w:t>Click on “Corporate” circle.</w:t>
      </w:r>
      <w:r>
        <w:rPr>
          <w:sz w:val="24"/>
          <w:szCs w:val="24"/>
        </w:rPr>
        <w:br/>
        <w:t>Click on “Bonds” circle.</w:t>
      </w:r>
      <w:r>
        <w:rPr>
          <w:sz w:val="24"/>
          <w:szCs w:val="24"/>
        </w:rPr>
        <w:br/>
        <w:t xml:space="preserve">Type </w:t>
      </w:r>
      <w:r w:rsidRPr="00EF39B9">
        <w:rPr>
          <w:b/>
          <w:sz w:val="24"/>
          <w:szCs w:val="24"/>
        </w:rPr>
        <w:t>Johnson</w:t>
      </w:r>
      <w:r>
        <w:rPr>
          <w:sz w:val="24"/>
          <w:szCs w:val="24"/>
        </w:rPr>
        <w:t xml:space="preserve"> (my screen hangs up on Johnson &amp; Johnson) or </w:t>
      </w:r>
      <w:r w:rsidRPr="00EF39B9">
        <w:rPr>
          <w:b/>
          <w:sz w:val="24"/>
          <w:szCs w:val="24"/>
        </w:rPr>
        <w:t>Boeing Co</w:t>
      </w:r>
      <w:r>
        <w:rPr>
          <w:sz w:val="24"/>
          <w:szCs w:val="24"/>
        </w:rPr>
        <w:t xml:space="preserve"> in “Issuer Name” box.</w:t>
      </w:r>
    </w:p>
    <w:p w:rsidR="00765A1D" w:rsidRDefault="00765A1D" w:rsidP="00765A1D">
      <w:pPr>
        <w:rPr>
          <w:sz w:val="24"/>
          <w:szCs w:val="24"/>
        </w:rPr>
      </w:pPr>
    </w:p>
    <w:p w:rsidR="00765A1D" w:rsidRDefault="00765A1D" w:rsidP="00765A1D">
      <w:pPr>
        <w:rPr>
          <w:sz w:val="24"/>
          <w:szCs w:val="24"/>
        </w:rPr>
      </w:pPr>
      <w:r>
        <w:rPr>
          <w:sz w:val="24"/>
          <w:szCs w:val="24"/>
        </w:rPr>
        <w:t xml:space="preserve">In your report you must verbally </w:t>
      </w:r>
      <w:r>
        <w:rPr>
          <w:b/>
          <w:sz w:val="24"/>
          <w:szCs w:val="24"/>
        </w:rPr>
        <w:t>COMPARE and CONTRAST</w:t>
      </w:r>
      <w:r>
        <w:rPr>
          <w:sz w:val="24"/>
          <w:szCs w:val="24"/>
        </w:rPr>
        <w:t xml:space="preserve"> the Four C’s of Credit for Boeing Co. and Johnson &amp; Johnson.  </w:t>
      </w:r>
      <w:r>
        <w:rPr>
          <w:b/>
          <w:sz w:val="24"/>
          <w:szCs w:val="24"/>
        </w:rPr>
        <w:t xml:space="preserve">Character is a </w:t>
      </w:r>
      <w:r w:rsidRPr="00894A3F">
        <w:rPr>
          <w:sz w:val="24"/>
          <w:szCs w:val="24"/>
        </w:rPr>
        <w:t xml:space="preserve">subjective analysis of the way management runs </w:t>
      </w:r>
      <w:r>
        <w:rPr>
          <w:sz w:val="24"/>
          <w:szCs w:val="24"/>
        </w:rPr>
        <w:t xml:space="preserve">the firm.  </w:t>
      </w:r>
      <w:r w:rsidRPr="00894A3F">
        <w:rPr>
          <w:b/>
          <w:sz w:val="24"/>
          <w:szCs w:val="24"/>
        </w:rPr>
        <w:t>Capacity</w:t>
      </w:r>
      <w:r>
        <w:rPr>
          <w:sz w:val="24"/>
          <w:szCs w:val="24"/>
        </w:rPr>
        <w:t xml:space="preserve"> is a numerical analysis of ALL </w:t>
      </w:r>
      <w:r w:rsidRPr="006416B4">
        <w:rPr>
          <w:sz w:val="24"/>
          <w:szCs w:val="24"/>
        </w:rPr>
        <w:t>seven</w:t>
      </w:r>
      <w:r>
        <w:rPr>
          <w:sz w:val="24"/>
          <w:szCs w:val="24"/>
        </w:rPr>
        <w:t xml:space="preserve"> (7)</w:t>
      </w:r>
      <w:r w:rsidRPr="006416B4">
        <w:rPr>
          <w:sz w:val="24"/>
          <w:szCs w:val="24"/>
        </w:rPr>
        <w:t xml:space="preserve"> financial ratios</w:t>
      </w:r>
      <w:r>
        <w:rPr>
          <w:sz w:val="24"/>
          <w:szCs w:val="24"/>
        </w:rPr>
        <w:t>*</w:t>
      </w:r>
      <w:r w:rsidRPr="006416B4">
        <w:rPr>
          <w:sz w:val="24"/>
          <w:szCs w:val="24"/>
        </w:rPr>
        <w:t xml:space="preserve"> found in Table 1</w:t>
      </w:r>
      <w:r>
        <w:rPr>
          <w:sz w:val="24"/>
          <w:szCs w:val="24"/>
        </w:rPr>
        <w:t xml:space="preserve"> of the S&amp;P Rating Criteria Report for </w:t>
      </w:r>
      <w:r>
        <w:rPr>
          <w:b/>
          <w:sz w:val="24"/>
          <w:szCs w:val="24"/>
        </w:rPr>
        <w:t xml:space="preserve">each firm over each of </w:t>
      </w:r>
      <w:r w:rsidRPr="007505A4">
        <w:rPr>
          <w:b/>
          <w:sz w:val="24"/>
          <w:szCs w:val="24"/>
        </w:rPr>
        <w:t>the past three years</w:t>
      </w:r>
      <w:r>
        <w:rPr>
          <w:sz w:val="24"/>
          <w:szCs w:val="24"/>
        </w:rPr>
        <w:t xml:space="preserve">.  </w:t>
      </w:r>
      <w:r w:rsidRPr="00894A3F">
        <w:rPr>
          <w:b/>
          <w:sz w:val="24"/>
          <w:szCs w:val="24"/>
        </w:rPr>
        <w:t xml:space="preserve">Collateral </w:t>
      </w:r>
      <w:r>
        <w:rPr>
          <w:sz w:val="24"/>
          <w:szCs w:val="24"/>
        </w:rPr>
        <w:t xml:space="preserve">is a value and liquidity analysis of a firm’s assets in case of bankruptcy.  </w:t>
      </w:r>
      <w:r w:rsidRPr="000A1C66">
        <w:rPr>
          <w:b/>
          <w:sz w:val="24"/>
          <w:szCs w:val="24"/>
        </w:rPr>
        <w:t>Conditions</w:t>
      </w:r>
      <w:r>
        <w:rPr>
          <w:sz w:val="24"/>
          <w:szCs w:val="24"/>
        </w:rPr>
        <w:t xml:space="preserve"> is a subjective analysis of how general economic and specific industry conditions might affect a firm’s ability to repay its debt.</w:t>
      </w:r>
    </w:p>
    <w:p w:rsidR="00765A1D" w:rsidRDefault="00765A1D" w:rsidP="00765A1D">
      <w:pPr>
        <w:rPr>
          <w:sz w:val="24"/>
          <w:szCs w:val="24"/>
        </w:rPr>
      </w:pPr>
    </w:p>
    <w:p w:rsidR="00765A1D" w:rsidRDefault="00765A1D" w:rsidP="00765A1D">
      <w:pPr>
        <w:rPr>
          <w:sz w:val="24"/>
          <w:szCs w:val="24"/>
        </w:rPr>
      </w:pPr>
      <w:r w:rsidRPr="00BF795A">
        <w:rPr>
          <w:b/>
          <w:sz w:val="24"/>
          <w:szCs w:val="24"/>
        </w:rPr>
        <w:t>Simplified Capacity ratio calculations</w:t>
      </w:r>
      <w:r>
        <w:rPr>
          <w:b/>
          <w:sz w:val="24"/>
          <w:szCs w:val="24"/>
        </w:rPr>
        <w:t xml:space="preserve"> (pay attention to decimal places)</w:t>
      </w:r>
      <w:r w:rsidRPr="00BF795A">
        <w:rPr>
          <w:b/>
          <w:sz w:val="24"/>
          <w:szCs w:val="24"/>
        </w:rPr>
        <w:t>: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3E5AA9">
        <w:rPr>
          <w:sz w:val="24"/>
          <w:szCs w:val="24"/>
        </w:rPr>
        <w:t xml:space="preserve">1. </w:t>
      </w:r>
      <w:r>
        <w:rPr>
          <w:sz w:val="24"/>
          <w:szCs w:val="24"/>
        </w:rPr>
        <w:t>EBIT i</w:t>
      </w:r>
      <w:r w:rsidRPr="003E5AA9">
        <w:rPr>
          <w:sz w:val="24"/>
          <w:szCs w:val="24"/>
        </w:rPr>
        <w:t xml:space="preserve">nterest coverage </w:t>
      </w:r>
      <w:r>
        <w:rPr>
          <w:sz w:val="24"/>
          <w:szCs w:val="24"/>
        </w:rPr>
        <w:t>= EBIT/Interest</w:t>
      </w:r>
    </w:p>
    <w:p w:rsidR="00765A1D" w:rsidRPr="003E5AA9" w:rsidRDefault="00765A1D" w:rsidP="00765A1D">
      <w:pPr>
        <w:rPr>
          <w:sz w:val="24"/>
          <w:szCs w:val="24"/>
        </w:rPr>
      </w:pPr>
      <w:r w:rsidRPr="003E5AA9">
        <w:rPr>
          <w:sz w:val="24"/>
          <w:szCs w:val="24"/>
        </w:rPr>
        <w:t>2. EBITDA interest coverage</w:t>
      </w:r>
      <w:r>
        <w:rPr>
          <w:sz w:val="24"/>
          <w:szCs w:val="24"/>
        </w:rPr>
        <w:t xml:space="preserve"> = EBITDA/Interest</w:t>
      </w:r>
    </w:p>
    <w:p w:rsidR="00765A1D" w:rsidRPr="003E5AA9" w:rsidRDefault="00765A1D" w:rsidP="00765A1D">
      <w:pPr>
        <w:rPr>
          <w:sz w:val="24"/>
          <w:szCs w:val="24"/>
        </w:rPr>
      </w:pPr>
      <w:r>
        <w:rPr>
          <w:sz w:val="24"/>
          <w:szCs w:val="24"/>
        </w:rPr>
        <w:t>3. Funds from operations (FFO)/Total D</w:t>
      </w:r>
      <w:r w:rsidRPr="003E5AA9">
        <w:rPr>
          <w:sz w:val="24"/>
          <w:szCs w:val="24"/>
        </w:rPr>
        <w:t xml:space="preserve">ebt </w:t>
      </w:r>
      <w:r>
        <w:rPr>
          <w:sz w:val="24"/>
          <w:szCs w:val="24"/>
        </w:rPr>
        <w:t>=  CFO/</w:t>
      </w:r>
      <w:r w:rsidRPr="003E5AA9">
        <w:rPr>
          <w:sz w:val="24"/>
          <w:szCs w:val="24"/>
        </w:rPr>
        <w:t xml:space="preserve"> </w:t>
      </w:r>
      <w:r>
        <w:rPr>
          <w:sz w:val="24"/>
          <w:szCs w:val="24"/>
        </w:rPr>
        <w:t>Long-term debt</w:t>
      </w:r>
      <w:r w:rsidRPr="003E5AA9">
        <w:rPr>
          <w:sz w:val="24"/>
          <w:szCs w:val="24"/>
        </w:rPr>
        <w:t xml:space="preserve"> + current </w:t>
      </w:r>
      <w:r>
        <w:rPr>
          <w:sz w:val="24"/>
          <w:szCs w:val="24"/>
        </w:rPr>
        <w:t>portion of Long-term debt + other S</w:t>
      </w:r>
      <w:r w:rsidRPr="003E5AA9">
        <w:rPr>
          <w:sz w:val="24"/>
          <w:szCs w:val="24"/>
        </w:rPr>
        <w:t>hort-term borrowings</w:t>
      </w:r>
      <w:r>
        <w:rPr>
          <w:sz w:val="24"/>
          <w:szCs w:val="24"/>
        </w:rPr>
        <w:t xml:space="preserve"> (excludes accounts payable)</w:t>
      </w:r>
    </w:p>
    <w:p w:rsidR="00765A1D" w:rsidRPr="003E5AA9" w:rsidRDefault="00765A1D" w:rsidP="00765A1D">
      <w:pPr>
        <w:rPr>
          <w:sz w:val="24"/>
          <w:szCs w:val="24"/>
        </w:rPr>
      </w:pPr>
      <w:r>
        <w:rPr>
          <w:sz w:val="24"/>
          <w:szCs w:val="24"/>
        </w:rPr>
        <w:t>4. Free Operating Cash Flow/Total D</w:t>
      </w:r>
      <w:r w:rsidRPr="003E5AA9">
        <w:rPr>
          <w:sz w:val="24"/>
          <w:szCs w:val="24"/>
        </w:rPr>
        <w:t xml:space="preserve">ebt </w:t>
      </w:r>
      <w:r>
        <w:rPr>
          <w:sz w:val="24"/>
          <w:szCs w:val="24"/>
        </w:rPr>
        <w:t xml:space="preserve">= FCFF (just as in the FCFFM) = Net Income + Depreciation – Net Capital Expenditures </w:t>
      </w:r>
      <w:r w:rsidRPr="003E5AA9">
        <w:rPr>
          <w:sz w:val="24"/>
          <w:szCs w:val="24"/>
        </w:rPr>
        <w:t>– (+) increa</w:t>
      </w:r>
      <w:r>
        <w:rPr>
          <w:sz w:val="24"/>
          <w:szCs w:val="24"/>
        </w:rPr>
        <w:t>se (decrease) in NWC/</w:t>
      </w:r>
      <w:r w:rsidRPr="00BF795A">
        <w:t xml:space="preserve"> </w:t>
      </w:r>
      <w:r>
        <w:t>(</w:t>
      </w:r>
      <w:r w:rsidRPr="00BF795A">
        <w:rPr>
          <w:sz w:val="24"/>
          <w:szCs w:val="24"/>
        </w:rPr>
        <w:t>Long-term debt + current portion</w:t>
      </w:r>
      <w:r>
        <w:rPr>
          <w:sz w:val="24"/>
          <w:szCs w:val="24"/>
        </w:rPr>
        <w:t xml:space="preserve"> of Long-term debt </w:t>
      </w:r>
      <w:r w:rsidRPr="00BF795A">
        <w:rPr>
          <w:sz w:val="24"/>
          <w:szCs w:val="24"/>
        </w:rPr>
        <w:t>+ other short-term borrowings (excludes accounts payable)</w:t>
      </w:r>
    </w:p>
    <w:p w:rsidR="00765A1D" w:rsidRPr="003E5AA9" w:rsidRDefault="00765A1D" w:rsidP="00765A1D">
      <w:pPr>
        <w:rPr>
          <w:sz w:val="24"/>
          <w:szCs w:val="24"/>
        </w:rPr>
      </w:pPr>
      <w:r>
        <w:rPr>
          <w:sz w:val="24"/>
          <w:szCs w:val="24"/>
        </w:rPr>
        <w:lastRenderedPageBreak/>
        <w:t>5. Total D</w:t>
      </w:r>
      <w:r w:rsidRPr="003E5AA9">
        <w:rPr>
          <w:sz w:val="24"/>
          <w:szCs w:val="24"/>
        </w:rPr>
        <w:t>ebt/</w:t>
      </w:r>
      <w:r>
        <w:rPr>
          <w:sz w:val="24"/>
          <w:szCs w:val="24"/>
        </w:rPr>
        <w:t>(Total Debt + Stock Holder E</w:t>
      </w:r>
      <w:r w:rsidRPr="003E5AA9">
        <w:rPr>
          <w:sz w:val="24"/>
          <w:szCs w:val="24"/>
        </w:rPr>
        <w:t xml:space="preserve">quity </w:t>
      </w:r>
      <w:r>
        <w:rPr>
          <w:sz w:val="24"/>
          <w:szCs w:val="24"/>
        </w:rPr>
        <w:t>(including preferred stock)</w:t>
      </w:r>
    </w:p>
    <w:p w:rsidR="00765A1D" w:rsidRPr="003E5AA9" w:rsidRDefault="00765A1D" w:rsidP="00765A1D">
      <w:pPr>
        <w:rPr>
          <w:sz w:val="24"/>
          <w:szCs w:val="24"/>
        </w:rPr>
      </w:pPr>
      <w:r w:rsidRPr="003E5AA9">
        <w:rPr>
          <w:sz w:val="24"/>
          <w:szCs w:val="24"/>
        </w:rPr>
        <w:t xml:space="preserve">6. Return on capital </w:t>
      </w:r>
      <w:r>
        <w:rPr>
          <w:sz w:val="24"/>
          <w:szCs w:val="24"/>
        </w:rPr>
        <w:t xml:space="preserve">= ROC = </w:t>
      </w:r>
      <w:r w:rsidRPr="003E5AA9">
        <w:rPr>
          <w:sz w:val="24"/>
          <w:szCs w:val="24"/>
        </w:rPr>
        <w:t>EBIT/</w:t>
      </w:r>
      <w:r>
        <w:rPr>
          <w:sz w:val="24"/>
          <w:szCs w:val="24"/>
        </w:rPr>
        <w:t>(End of year Total Debt + Stock Holder E</w:t>
      </w:r>
      <w:r w:rsidRPr="003E5AA9">
        <w:rPr>
          <w:sz w:val="24"/>
          <w:szCs w:val="24"/>
        </w:rPr>
        <w:t>quity (common and preferred stock)</w:t>
      </w:r>
    </w:p>
    <w:p w:rsidR="00765A1D" w:rsidRDefault="00765A1D" w:rsidP="00765A1D">
      <w:pPr>
        <w:rPr>
          <w:sz w:val="24"/>
          <w:szCs w:val="24"/>
        </w:rPr>
      </w:pPr>
      <w:r>
        <w:rPr>
          <w:sz w:val="24"/>
          <w:szCs w:val="24"/>
        </w:rPr>
        <w:t>7. Total debt/EBITDA</w:t>
      </w:r>
    </w:p>
    <w:p w:rsidR="00765A1D" w:rsidRDefault="00765A1D" w:rsidP="00765A1D">
      <w:pPr>
        <w:rPr>
          <w:sz w:val="24"/>
          <w:szCs w:val="24"/>
        </w:rPr>
      </w:pPr>
    </w:p>
    <w:p w:rsidR="00765A1D" w:rsidRDefault="00765A1D" w:rsidP="00765A1D">
      <w:pPr>
        <w:rPr>
          <w:rStyle w:val="Hyperlink"/>
          <w:sz w:val="24"/>
          <w:szCs w:val="24"/>
        </w:rPr>
      </w:pPr>
      <w:hyperlink r:id="rId5" w:history="1">
        <w:r w:rsidRPr="00D16ABE">
          <w:rPr>
            <w:rStyle w:val="Hyperlink"/>
            <w:sz w:val="24"/>
            <w:szCs w:val="24"/>
          </w:rPr>
          <w:t>https://www.msn.com/en-us/money</w:t>
        </w:r>
      </w:hyperlink>
    </w:p>
    <w:p w:rsidR="00765A1D" w:rsidRDefault="00765A1D" w:rsidP="00765A1D">
      <w:pPr>
        <w:rPr>
          <w:sz w:val="24"/>
          <w:szCs w:val="24"/>
        </w:rPr>
      </w:pPr>
      <w:hyperlink r:id="rId6" w:history="1">
        <w:r w:rsidRPr="00D16ABE">
          <w:rPr>
            <w:rStyle w:val="Hyperlink"/>
            <w:sz w:val="24"/>
            <w:szCs w:val="24"/>
          </w:rPr>
          <w:t>https://finance.yahoo.com/</w:t>
        </w:r>
      </w:hyperlink>
    </w:p>
    <w:p w:rsidR="00765A1D" w:rsidRDefault="00765A1D" w:rsidP="00765A1D">
      <w:pPr>
        <w:rPr>
          <w:sz w:val="24"/>
          <w:szCs w:val="24"/>
        </w:rPr>
      </w:pPr>
    </w:p>
    <w:p w:rsidR="00765A1D" w:rsidRDefault="00765A1D" w:rsidP="00765A1D">
      <w:pPr>
        <w:rPr>
          <w:sz w:val="24"/>
          <w:szCs w:val="24"/>
        </w:rPr>
      </w:pPr>
      <w:r w:rsidRPr="00B02BE6">
        <w:rPr>
          <w:sz w:val="24"/>
          <w:szCs w:val="24"/>
        </w:rPr>
        <w:t xml:space="preserve">This is a typical </w:t>
      </w:r>
      <w:r w:rsidRPr="00B52BAF">
        <w:rPr>
          <w:b/>
          <w:sz w:val="24"/>
          <w:szCs w:val="24"/>
        </w:rPr>
        <w:t xml:space="preserve">CFA Level 2 Exam </w:t>
      </w:r>
      <w:r>
        <w:rPr>
          <w:sz w:val="24"/>
          <w:szCs w:val="24"/>
        </w:rPr>
        <w:t xml:space="preserve">type of question.  </w:t>
      </w:r>
      <w:r>
        <w:rPr>
          <w:b/>
          <w:sz w:val="24"/>
          <w:szCs w:val="24"/>
        </w:rPr>
        <w:t xml:space="preserve">Use </w:t>
      </w:r>
      <w:r w:rsidRPr="00894A3F">
        <w:rPr>
          <w:b/>
          <w:sz w:val="24"/>
          <w:szCs w:val="24"/>
        </w:rPr>
        <w:t xml:space="preserve">the past 3 years of annual Consolidated Financial Statements </w:t>
      </w:r>
      <w:r w:rsidRPr="00894A3F">
        <w:rPr>
          <w:sz w:val="24"/>
          <w:szCs w:val="24"/>
        </w:rPr>
        <w:t>for each firm in your analysis</w:t>
      </w:r>
      <w:r>
        <w:rPr>
          <w:sz w:val="24"/>
          <w:szCs w:val="24"/>
        </w:rPr>
        <w:t xml:space="preserve"> </w:t>
      </w:r>
      <w:r w:rsidRPr="006416B4">
        <w:rPr>
          <w:sz w:val="24"/>
          <w:szCs w:val="24"/>
        </w:rPr>
        <w:t>(i.e. consider the average and trend in the seven capacity related financial ratios and not just the most current).</w:t>
      </w:r>
      <w:r>
        <w:rPr>
          <w:sz w:val="24"/>
          <w:szCs w:val="24"/>
        </w:rPr>
        <w:t xml:space="preserve">  Current and historical </w:t>
      </w:r>
      <w:r w:rsidRPr="00894A3F">
        <w:rPr>
          <w:sz w:val="24"/>
          <w:szCs w:val="24"/>
        </w:rPr>
        <w:t>Annual</w:t>
      </w:r>
      <w:r>
        <w:rPr>
          <w:sz w:val="24"/>
          <w:szCs w:val="24"/>
        </w:rPr>
        <w:t xml:space="preserve"> Financial Statements can </w:t>
      </w:r>
      <w:r w:rsidRPr="00894A3F">
        <w:rPr>
          <w:sz w:val="24"/>
          <w:szCs w:val="24"/>
        </w:rPr>
        <w:t>be found</w:t>
      </w:r>
      <w:r>
        <w:rPr>
          <w:sz w:val="24"/>
          <w:szCs w:val="24"/>
        </w:rPr>
        <w:t xml:space="preserve"> on the firm’s web site or you can use the financial statements found on Yahoo.finance.com</w:t>
      </w:r>
      <w:r w:rsidRPr="00894A3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7F1F89" w:rsidRDefault="00765A1D"/>
    <w:sectPr w:rsidR="007F1F89" w:rsidSect="003C56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1D"/>
    <w:rsid w:val="003C5664"/>
    <w:rsid w:val="00765A1D"/>
    <w:rsid w:val="0093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E4CFB2D-D611-C144-A0A5-5B85BE0F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5A1D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765A1D"/>
    <w:rPr>
      <w:rFonts w:cs="Times New Roman"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ance.yahoo.com/" TargetMode="External"/><Relationship Id="rId5" Type="http://schemas.openxmlformats.org/officeDocument/2006/relationships/hyperlink" Target="https://www.msn.com/en-us/money" TargetMode="External"/><Relationship Id="rId4" Type="http://schemas.openxmlformats.org/officeDocument/2006/relationships/hyperlink" Target="http://www.finra.org/marketd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.Algarny</dc:creator>
  <cp:keywords/>
  <dc:description/>
  <cp:lastModifiedBy>Salman .Algarny</cp:lastModifiedBy>
  <cp:revision>1</cp:revision>
  <dcterms:created xsi:type="dcterms:W3CDTF">2019-02-20T22:13:00Z</dcterms:created>
  <dcterms:modified xsi:type="dcterms:W3CDTF">2019-02-20T22:21:00Z</dcterms:modified>
</cp:coreProperties>
</file>